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16" w:rsidRDefault="00C95616" w:rsidP="00C95616">
      <w:pPr>
        <w:spacing w:line="276" w:lineRule="auto"/>
        <w:jc w:val="right"/>
        <w:rPr>
          <w:rFonts w:ascii="Arial" w:hAnsi="Arial" w:cs="Arial"/>
          <w:b/>
          <w:bCs/>
          <w:color w:val="0A0A0A"/>
          <w:shd w:val="clear" w:color="auto" w:fill="FFFFFF"/>
        </w:rPr>
      </w:pPr>
    </w:p>
    <w:p w:rsidR="00C95616" w:rsidRPr="00C95616" w:rsidRDefault="00C95616" w:rsidP="00C95616">
      <w:pPr>
        <w:spacing w:line="276" w:lineRule="auto"/>
        <w:jc w:val="right"/>
        <w:rPr>
          <w:rFonts w:ascii="Arial" w:hAnsi="Arial" w:cs="Arial"/>
          <w:b/>
          <w:bCs/>
          <w:color w:val="0A0A0A"/>
          <w:shd w:val="clear" w:color="auto" w:fill="FFFFFF"/>
        </w:rPr>
      </w:pPr>
      <w:r w:rsidRPr="00C95616">
        <w:rPr>
          <w:rFonts w:ascii="Arial" w:hAnsi="Arial" w:cs="Arial"/>
          <w:b/>
          <w:bCs/>
          <w:color w:val="0A0A0A"/>
          <w:shd w:val="clear" w:color="auto" w:fill="FFFFFF"/>
        </w:rPr>
        <w:t>Excmo. Sr. Presidente de la Comunidad Autónoma de la Región de Murcia</w:t>
      </w:r>
    </w:p>
    <w:p w:rsidR="00C95616" w:rsidRPr="00C95616" w:rsidRDefault="00C95616" w:rsidP="00C95616">
      <w:pPr>
        <w:spacing w:line="276" w:lineRule="auto"/>
        <w:jc w:val="right"/>
        <w:rPr>
          <w:rFonts w:ascii="Arial" w:hAnsi="Arial" w:cs="Arial"/>
          <w:b/>
          <w:bCs/>
          <w:color w:val="0A0A0A"/>
          <w:shd w:val="clear" w:color="auto" w:fill="FFFFFF"/>
        </w:rPr>
      </w:pPr>
      <w:r w:rsidRPr="00C95616">
        <w:rPr>
          <w:rFonts w:ascii="Arial" w:hAnsi="Arial" w:cs="Arial"/>
          <w:b/>
          <w:bCs/>
          <w:color w:val="0A0A0A"/>
          <w:shd w:val="clear" w:color="auto" w:fill="FFFFFF"/>
        </w:rPr>
        <w:t>Excmo. Sr. Consejero de Salud</w:t>
      </w:r>
    </w:p>
    <w:p w:rsidR="00C95616" w:rsidRPr="00C95616" w:rsidRDefault="00C95616" w:rsidP="00C95616">
      <w:pPr>
        <w:spacing w:line="276" w:lineRule="auto"/>
        <w:jc w:val="both"/>
        <w:rPr>
          <w:rFonts w:ascii="Arial" w:hAnsi="Arial" w:cs="Arial"/>
          <w:color w:val="0A0A0A"/>
          <w:shd w:val="clear" w:color="auto" w:fill="FFFFFF"/>
        </w:rPr>
      </w:pPr>
    </w:p>
    <w:p w:rsidR="00C95616" w:rsidRDefault="00C95616" w:rsidP="00C95616">
      <w:pPr>
        <w:spacing w:line="360" w:lineRule="auto"/>
        <w:jc w:val="both"/>
        <w:rPr>
          <w:rFonts w:ascii="Arial" w:hAnsi="Arial" w:cs="Arial"/>
          <w:color w:val="0A0A0A"/>
          <w:shd w:val="clear" w:color="auto" w:fill="FFFFFF"/>
        </w:rPr>
      </w:pPr>
    </w:p>
    <w:p w:rsidR="00C95616" w:rsidRPr="00C95616" w:rsidRDefault="00C95616" w:rsidP="00C95616">
      <w:pPr>
        <w:spacing w:line="360" w:lineRule="auto"/>
        <w:jc w:val="both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Nos dirigimos</w:t>
      </w:r>
      <w:r w:rsidRPr="00C95616">
        <w:rPr>
          <w:rFonts w:ascii="Arial" w:hAnsi="Arial" w:cs="Arial"/>
          <w:color w:val="0A0A0A"/>
          <w:shd w:val="clear" w:color="auto" w:fill="FFFFFF"/>
        </w:rPr>
        <w:t xml:space="preserve"> a ustedes para trasladar</w:t>
      </w:r>
      <w:r>
        <w:rPr>
          <w:rFonts w:ascii="Arial" w:hAnsi="Arial" w:cs="Arial"/>
          <w:color w:val="0A0A0A"/>
          <w:shd w:val="clear" w:color="auto" w:fill="FFFFFF"/>
        </w:rPr>
        <w:t xml:space="preserve">les </w:t>
      </w:r>
      <w:r w:rsidR="008F3BA6">
        <w:rPr>
          <w:rFonts w:ascii="Arial" w:hAnsi="Arial" w:cs="Arial"/>
          <w:color w:val="0A0A0A"/>
          <w:shd w:val="clear" w:color="auto" w:fill="FFFFFF"/>
        </w:rPr>
        <w:t xml:space="preserve">la </w:t>
      </w:r>
      <w:r w:rsidRPr="00C95616">
        <w:rPr>
          <w:rFonts w:ascii="Arial" w:hAnsi="Arial" w:cs="Arial"/>
          <w:color w:val="0A0A0A"/>
          <w:shd w:val="clear" w:color="auto" w:fill="FFFFFF"/>
        </w:rPr>
        <w:t xml:space="preserve">situación </w:t>
      </w:r>
      <w:r w:rsidR="008F3BA6">
        <w:rPr>
          <w:rFonts w:ascii="Arial" w:hAnsi="Arial" w:cs="Arial"/>
          <w:color w:val="0A0A0A"/>
          <w:shd w:val="clear" w:color="auto" w:fill="FFFFFF"/>
        </w:rPr>
        <w:t xml:space="preserve">insostenible y crítica que atraviesa el sector de establecimientos sanitarios, de hospitalización y asistencia como consecuencia del bloqueo de la negociación de su </w:t>
      </w:r>
      <w:r w:rsidRPr="00C95616">
        <w:rPr>
          <w:rFonts w:ascii="Arial" w:hAnsi="Arial" w:cs="Arial"/>
          <w:color w:val="0A0A0A"/>
          <w:shd w:val="clear" w:color="auto" w:fill="FFFFFF"/>
        </w:rPr>
        <w:t>convenio colectivo de aplicación (código 30000515)</w:t>
      </w:r>
      <w:r w:rsidR="008F3BA6">
        <w:rPr>
          <w:rFonts w:ascii="Arial" w:hAnsi="Arial" w:cs="Arial"/>
          <w:color w:val="0A0A0A"/>
          <w:shd w:val="clear" w:color="auto" w:fill="FFFFFF"/>
        </w:rPr>
        <w:t>;</w:t>
      </w:r>
      <w:r w:rsidRPr="00C95616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8F3BA6">
        <w:rPr>
          <w:rFonts w:ascii="Arial" w:hAnsi="Arial" w:cs="Arial"/>
          <w:color w:val="0A0A0A"/>
          <w:shd w:val="clear" w:color="auto" w:fill="FFFFFF"/>
        </w:rPr>
        <w:t xml:space="preserve">convenio </w:t>
      </w:r>
      <w:r w:rsidRPr="00C95616">
        <w:rPr>
          <w:rFonts w:ascii="Arial" w:hAnsi="Arial" w:cs="Arial"/>
          <w:color w:val="0A0A0A"/>
          <w:shd w:val="clear" w:color="auto" w:fill="FFFFFF"/>
        </w:rPr>
        <w:t>que permanece</w:t>
      </w:r>
      <w:r w:rsidR="008F3BA6">
        <w:rPr>
          <w:rFonts w:ascii="Arial" w:hAnsi="Arial" w:cs="Arial"/>
          <w:color w:val="0A0A0A"/>
          <w:shd w:val="clear" w:color="auto" w:fill="FFFFFF"/>
        </w:rPr>
        <w:t>, como sabrán,</w:t>
      </w:r>
      <w:r w:rsidRPr="00C95616">
        <w:rPr>
          <w:rFonts w:ascii="Arial" w:hAnsi="Arial" w:cs="Arial"/>
          <w:color w:val="0A0A0A"/>
          <w:shd w:val="clear" w:color="auto" w:fill="FFFFFF"/>
        </w:rPr>
        <w:t xml:space="preserve"> sin vigencia desde hace más de quince años</w:t>
      </w:r>
      <w:r w:rsidR="008F3BA6">
        <w:rPr>
          <w:rFonts w:ascii="Arial" w:hAnsi="Arial" w:cs="Arial"/>
          <w:color w:val="0A0A0A"/>
          <w:shd w:val="clear" w:color="auto" w:fill="FFFFFF"/>
        </w:rPr>
        <w:t xml:space="preserve">, en concreto, desde el 31 de diciembre de 2010. </w:t>
      </w:r>
    </w:p>
    <w:p w:rsidR="008F3BA6" w:rsidRDefault="00C95616" w:rsidP="00C95616">
      <w:pPr>
        <w:spacing w:line="360" w:lineRule="auto"/>
        <w:jc w:val="both"/>
        <w:rPr>
          <w:rFonts w:ascii="Arial" w:hAnsi="Arial" w:cs="Arial"/>
          <w:color w:val="0A0A0A"/>
          <w:shd w:val="clear" w:color="auto" w:fill="FFFFFF"/>
        </w:rPr>
      </w:pPr>
      <w:r w:rsidRPr="00C95616">
        <w:rPr>
          <w:rFonts w:ascii="Arial" w:hAnsi="Arial" w:cs="Arial"/>
          <w:color w:val="0A0A0A"/>
          <w:shd w:val="clear" w:color="auto" w:fill="FFFFFF"/>
        </w:rPr>
        <w:t xml:space="preserve">Durante todo este tiempo, los reiterados intentos de la parte social por entablar una negociación colectiva de buena fe han resultado infructuosos, ante </w:t>
      </w:r>
      <w:r w:rsidR="008F3BA6">
        <w:rPr>
          <w:rFonts w:ascii="Arial" w:hAnsi="Arial" w:cs="Arial"/>
          <w:color w:val="0A0A0A"/>
          <w:shd w:val="clear" w:color="auto" w:fill="FFFFFF"/>
        </w:rPr>
        <w:t xml:space="preserve">una </w:t>
      </w:r>
      <w:r w:rsidRPr="00C95616">
        <w:rPr>
          <w:rFonts w:ascii="Arial" w:hAnsi="Arial" w:cs="Arial"/>
          <w:color w:val="0A0A0A"/>
          <w:shd w:val="clear" w:color="auto" w:fill="FFFFFF"/>
        </w:rPr>
        <w:t xml:space="preserve">representación empresarial </w:t>
      </w:r>
      <w:r w:rsidR="008F3BA6">
        <w:rPr>
          <w:rFonts w:ascii="Arial" w:hAnsi="Arial" w:cs="Arial"/>
          <w:color w:val="0A0A0A"/>
          <w:shd w:val="clear" w:color="auto" w:fill="FFFFFF"/>
        </w:rPr>
        <w:t xml:space="preserve">instalada en una sistemática negativa </w:t>
      </w:r>
      <w:r w:rsidRPr="00C95616">
        <w:rPr>
          <w:rFonts w:ascii="Arial" w:hAnsi="Arial" w:cs="Arial"/>
          <w:color w:val="0A0A0A"/>
          <w:shd w:val="clear" w:color="auto" w:fill="FFFFFF"/>
        </w:rPr>
        <w:t xml:space="preserve">a alcanzar </w:t>
      </w:r>
      <w:r w:rsidR="008537ED">
        <w:rPr>
          <w:rFonts w:ascii="Arial" w:hAnsi="Arial" w:cs="Arial"/>
          <w:color w:val="0A0A0A"/>
          <w:shd w:val="clear" w:color="auto" w:fill="FFFFFF"/>
        </w:rPr>
        <w:t xml:space="preserve">un </w:t>
      </w:r>
      <w:r w:rsidRPr="00C95616">
        <w:rPr>
          <w:rFonts w:ascii="Arial" w:hAnsi="Arial" w:cs="Arial"/>
          <w:color w:val="0A0A0A"/>
          <w:shd w:val="clear" w:color="auto" w:fill="FFFFFF"/>
        </w:rPr>
        <w:t xml:space="preserve">acuerdo que permita dotar al sector de un marco laboral equilibrado y acorde con la realidad económica y social actual. </w:t>
      </w:r>
    </w:p>
    <w:p w:rsidR="0034121A" w:rsidRDefault="00C95616" w:rsidP="00C95616">
      <w:pPr>
        <w:spacing w:line="360" w:lineRule="auto"/>
        <w:jc w:val="both"/>
        <w:rPr>
          <w:rFonts w:ascii="Arial" w:hAnsi="Arial" w:cs="Arial"/>
          <w:color w:val="0A0A0A"/>
          <w:shd w:val="clear" w:color="auto" w:fill="FFFFFF"/>
        </w:rPr>
      </w:pPr>
      <w:r w:rsidRPr="00C95616">
        <w:rPr>
          <w:rFonts w:ascii="Arial" w:hAnsi="Arial" w:cs="Arial"/>
          <w:color w:val="0A0A0A"/>
          <w:shd w:val="clear" w:color="auto" w:fill="FFFFFF"/>
        </w:rPr>
        <w:t>Este inmovilismo ha generado una degradación progresiva y sostenida de las condiciones laborales y salariales</w:t>
      </w:r>
      <w:r>
        <w:rPr>
          <w:rFonts w:ascii="Arial" w:hAnsi="Arial" w:cs="Arial"/>
          <w:color w:val="0A0A0A"/>
          <w:shd w:val="clear" w:color="auto" w:fill="FFFFFF"/>
        </w:rPr>
        <w:t xml:space="preserve"> del sector</w:t>
      </w:r>
      <w:r w:rsidRPr="00C95616">
        <w:rPr>
          <w:rFonts w:ascii="Arial" w:hAnsi="Arial" w:cs="Arial"/>
          <w:color w:val="0A0A0A"/>
          <w:shd w:val="clear" w:color="auto" w:fill="FFFFFF"/>
        </w:rPr>
        <w:t xml:space="preserve">, </w:t>
      </w:r>
      <w:r w:rsidR="008F3BA6" w:rsidRPr="008F3BA6">
        <w:rPr>
          <w:rFonts w:ascii="Arial" w:hAnsi="Arial" w:cs="Arial"/>
          <w:color w:val="0A0A0A"/>
          <w:shd w:val="clear" w:color="auto" w:fill="FFFFFF"/>
        </w:rPr>
        <w:t xml:space="preserve">encontrándose la mayoría de sus profesionales percibiendo salarios equivalentes al SMI y </w:t>
      </w:r>
      <w:r w:rsidR="008F3BA6">
        <w:rPr>
          <w:rFonts w:ascii="Arial" w:hAnsi="Arial" w:cs="Arial"/>
          <w:color w:val="0A0A0A"/>
          <w:shd w:val="clear" w:color="auto" w:fill="FFFFFF"/>
        </w:rPr>
        <w:t>viendo compensadas</w:t>
      </w:r>
      <w:r w:rsidR="008F3BA6" w:rsidRPr="008F3BA6">
        <w:rPr>
          <w:rFonts w:ascii="Arial" w:hAnsi="Arial" w:cs="Arial"/>
          <w:color w:val="0A0A0A"/>
          <w:shd w:val="clear" w:color="auto" w:fill="FFFFFF"/>
        </w:rPr>
        <w:t xml:space="preserve"> las subidas de éste</w:t>
      </w:r>
      <w:r w:rsidR="0034121A">
        <w:rPr>
          <w:rFonts w:ascii="Arial" w:hAnsi="Arial" w:cs="Arial"/>
          <w:color w:val="0A0A0A"/>
          <w:shd w:val="clear" w:color="auto" w:fill="FFFFFF"/>
        </w:rPr>
        <w:t xml:space="preserve"> con</w:t>
      </w:r>
      <w:r w:rsidR="008F3BA6" w:rsidRPr="008F3BA6">
        <w:rPr>
          <w:rFonts w:ascii="Arial" w:hAnsi="Arial" w:cs="Arial"/>
          <w:color w:val="0A0A0A"/>
          <w:shd w:val="clear" w:color="auto" w:fill="FFFFFF"/>
        </w:rPr>
        <w:t xml:space="preserve"> complementos como la antigüedad, lo que equivale a una congelación salarial de facto que se prolonga ya más de una década. </w:t>
      </w:r>
    </w:p>
    <w:p w:rsidR="008F3BA6" w:rsidRPr="00C95616" w:rsidRDefault="008F3BA6" w:rsidP="00C95616">
      <w:pPr>
        <w:spacing w:line="360" w:lineRule="auto"/>
        <w:jc w:val="both"/>
        <w:rPr>
          <w:rFonts w:ascii="Arial" w:hAnsi="Arial" w:cs="Arial"/>
          <w:color w:val="0A0A0A"/>
          <w:shd w:val="clear" w:color="auto" w:fill="FFFFFF"/>
        </w:rPr>
      </w:pPr>
      <w:r w:rsidRPr="008F3BA6">
        <w:rPr>
          <w:rFonts w:ascii="Arial" w:hAnsi="Arial" w:cs="Arial"/>
          <w:color w:val="0A0A0A"/>
          <w:shd w:val="clear" w:color="auto" w:fill="FFFFFF"/>
        </w:rPr>
        <w:t>Como consecuencia de ello, los centros</w:t>
      </w:r>
      <w:r w:rsidR="0034121A">
        <w:rPr>
          <w:rFonts w:ascii="Arial" w:hAnsi="Arial" w:cs="Arial"/>
          <w:color w:val="0A0A0A"/>
          <w:shd w:val="clear" w:color="auto" w:fill="FFFFFF"/>
        </w:rPr>
        <w:t xml:space="preserve"> sanitarios</w:t>
      </w:r>
      <w:r w:rsidRPr="008F3BA6">
        <w:rPr>
          <w:rFonts w:ascii="Arial" w:hAnsi="Arial" w:cs="Arial"/>
          <w:color w:val="0A0A0A"/>
          <w:shd w:val="clear" w:color="auto" w:fill="FFFFFF"/>
        </w:rPr>
        <w:t xml:space="preserve"> privados de la región tienen cada vez más dificultades para atraer y retener personal cualificado y con experiencia, de manera que la precariedad y la sobrecarga de trabajo se extienden </w:t>
      </w:r>
      <w:r w:rsidR="0034121A">
        <w:rPr>
          <w:rFonts w:ascii="Arial" w:hAnsi="Arial" w:cs="Arial"/>
          <w:color w:val="0A0A0A"/>
          <w:shd w:val="clear" w:color="auto" w:fill="FFFFFF"/>
        </w:rPr>
        <w:t xml:space="preserve">de forma preocupante </w:t>
      </w:r>
      <w:r w:rsidRPr="008F3BA6">
        <w:rPr>
          <w:rFonts w:ascii="Arial" w:hAnsi="Arial" w:cs="Arial"/>
          <w:color w:val="0A0A0A"/>
          <w:shd w:val="clear" w:color="auto" w:fill="FFFFFF"/>
        </w:rPr>
        <w:t>en el sector, lo que a su vez está teniendo indudables impactos negativos en la calidad asistencial que reciben los pacientes, muchos de ellos derivados de la sanidad pública.</w:t>
      </w:r>
    </w:p>
    <w:p w:rsidR="00C95616" w:rsidRPr="00C95616" w:rsidRDefault="00C95616" w:rsidP="00C95616">
      <w:pPr>
        <w:spacing w:line="360" w:lineRule="auto"/>
        <w:jc w:val="both"/>
        <w:rPr>
          <w:rFonts w:ascii="Arial" w:hAnsi="Arial" w:cs="Arial"/>
          <w:color w:val="0A0A0A"/>
          <w:shd w:val="clear" w:color="auto" w:fill="FFFFFF"/>
        </w:rPr>
      </w:pPr>
      <w:r w:rsidRPr="00C95616">
        <w:rPr>
          <w:rFonts w:ascii="Arial" w:hAnsi="Arial" w:cs="Arial"/>
          <w:color w:val="0A0A0A"/>
          <w:shd w:val="clear" w:color="auto" w:fill="FFFFFF"/>
        </w:rPr>
        <w:t xml:space="preserve">Debe recordarse, que una parte sustancial de estos establecimientos sanitarios privados mantiene conciertos y contratos con la Administración regional, prestando servicios hospitalarios y, de forma creciente, </w:t>
      </w:r>
      <w:proofErr w:type="spellStart"/>
      <w:r w:rsidRPr="00C95616">
        <w:rPr>
          <w:rFonts w:ascii="Arial" w:hAnsi="Arial" w:cs="Arial"/>
          <w:color w:val="0A0A0A"/>
          <w:shd w:val="clear" w:color="auto" w:fill="FFFFFF"/>
        </w:rPr>
        <w:t>extrahospitalarios</w:t>
      </w:r>
      <w:proofErr w:type="spellEnd"/>
      <w:r w:rsidRPr="00C95616">
        <w:rPr>
          <w:rFonts w:ascii="Arial" w:hAnsi="Arial" w:cs="Arial"/>
          <w:color w:val="0A0A0A"/>
          <w:shd w:val="clear" w:color="auto" w:fill="FFFFFF"/>
        </w:rPr>
        <w:t>, que son competencia de</w:t>
      </w:r>
      <w:r w:rsidR="0034121A">
        <w:rPr>
          <w:rFonts w:ascii="Arial" w:hAnsi="Arial" w:cs="Arial"/>
          <w:color w:val="0A0A0A"/>
          <w:shd w:val="clear" w:color="auto" w:fill="FFFFFF"/>
        </w:rPr>
        <w:t xml:space="preserve"> los servicios públicos de s</w:t>
      </w:r>
      <w:r w:rsidRPr="00C95616">
        <w:rPr>
          <w:rFonts w:ascii="Arial" w:hAnsi="Arial" w:cs="Arial"/>
          <w:color w:val="0A0A0A"/>
          <w:shd w:val="clear" w:color="auto" w:fill="FFFFFF"/>
        </w:rPr>
        <w:t xml:space="preserve">alud. Por tanto, nos encontramos ante centros financiados con fondos públicos en los que se </w:t>
      </w:r>
      <w:r w:rsidR="0034121A">
        <w:rPr>
          <w:rFonts w:ascii="Arial" w:hAnsi="Arial" w:cs="Arial"/>
          <w:color w:val="0A0A0A"/>
          <w:shd w:val="clear" w:color="auto" w:fill="FFFFFF"/>
        </w:rPr>
        <w:t>permiten</w:t>
      </w:r>
      <w:r w:rsidRPr="00C95616">
        <w:rPr>
          <w:rFonts w:ascii="Arial" w:hAnsi="Arial" w:cs="Arial"/>
          <w:color w:val="0A0A0A"/>
          <w:shd w:val="clear" w:color="auto" w:fill="FFFFFF"/>
        </w:rPr>
        <w:t xml:space="preserve"> condiciones laborales </w:t>
      </w:r>
      <w:r w:rsidRPr="00C95616">
        <w:rPr>
          <w:rFonts w:ascii="Arial" w:hAnsi="Arial" w:cs="Arial"/>
          <w:color w:val="0A0A0A"/>
          <w:shd w:val="clear" w:color="auto" w:fill="FFFFFF"/>
        </w:rPr>
        <w:lastRenderedPageBreak/>
        <w:t>claramente incompatibles con los principios de trabajo digno y calidad del empleo que deben regir la acción pública.</w:t>
      </w:r>
    </w:p>
    <w:p w:rsidR="00C95616" w:rsidRPr="00C95616" w:rsidRDefault="00C95616" w:rsidP="00C95616">
      <w:pPr>
        <w:spacing w:line="360" w:lineRule="auto"/>
        <w:jc w:val="both"/>
        <w:rPr>
          <w:rFonts w:ascii="Arial" w:hAnsi="Arial" w:cs="Arial"/>
          <w:color w:val="0A0A0A"/>
          <w:shd w:val="clear" w:color="auto" w:fill="FFFFFF"/>
        </w:rPr>
      </w:pPr>
      <w:r w:rsidRPr="00C95616">
        <w:rPr>
          <w:rFonts w:ascii="Arial" w:hAnsi="Arial" w:cs="Arial"/>
          <w:color w:val="0A0A0A"/>
          <w:shd w:val="clear" w:color="auto" w:fill="FFFFFF"/>
        </w:rPr>
        <w:t>Por todo ello, consideramos imprescindible que el Gobierno regional, en el ámbito de sus respectivas competencias, adopte una posición activa y responsable, garantizando que la contratación pública sanitaria in</w:t>
      </w:r>
      <w:r w:rsidR="0034121A">
        <w:rPr>
          <w:rFonts w:ascii="Arial" w:hAnsi="Arial" w:cs="Arial"/>
          <w:color w:val="0A0A0A"/>
          <w:shd w:val="clear" w:color="auto" w:fill="FFFFFF"/>
        </w:rPr>
        <w:t>corpore cláusulas sociales</w:t>
      </w:r>
      <w:r w:rsidRPr="00C95616">
        <w:rPr>
          <w:rFonts w:ascii="Arial" w:hAnsi="Arial" w:cs="Arial"/>
          <w:color w:val="0A0A0A"/>
          <w:shd w:val="clear" w:color="auto" w:fill="FFFFFF"/>
        </w:rPr>
        <w:t xml:space="preserve"> efectiv</w:t>
      </w:r>
      <w:r w:rsidR="0034121A">
        <w:rPr>
          <w:rFonts w:ascii="Arial" w:hAnsi="Arial" w:cs="Arial"/>
          <w:color w:val="0A0A0A"/>
          <w:shd w:val="clear" w:color="auto" w:fill="FFFFFF"/>
        </w:rPr>
        <w:t>a</w:t>
      </w:r>
      <w:r w:rsidRPr="00C95616">
        <w:rPr>
          <w:rFonts w:ascii="Arial" w:hAnsi="Arial" w:cs="Arial"/>
          <w:color w:val="0A0A0A"/>
          <w:shd w:val="clear" w:color="auto" w:fill="FFFFFF"/>
        </w:rPr>
        <w:t xml:space="preserve">s y verificables, </w:t>
      </w:r>
      <w:r w:rsidR="0034121A">
        <w:rPr>
          <w:rFonts w:ascii="Arial" w:hAnsi="Arial" w:cs="Arial"/>
          <w:color w:val="0A0A0A"/>
          <w:shd w:val="clear" w:color="auto" w:fill="FFFFFF"/>
        </w:rPr>
        <w:t>que vinculen a las empresas contratistas con e</w:t>
      </w:r>
      <w:r w:rsidRPr="00C95616">
        <w:rPr>
          <w:rFonts w:ascii="Arial" w:hAnsi="Arial" w:cs="Arial"/>
          <w:color w:val="0A0A0A"/>
          <w:shd w:val="clear" w:color="auto" w:fill="FFFFFF"/>
        </w:rPr>
        <w:t xml:space="preserve">l cumplimiento de la normativa laboral y </w:t>
      </w:r>
      <w:r w:rsidR="0034121A">
        <w:rPr>
          <w:rFonts w:ascii="Arial" w:hAnsi="Arial" w:cs="Arial"/>
          <w:color w:val="0A0A0A"/>
          <w:shd w:val="clear" w:color="auto" w:fill="FFFFFF"/>
        </w:rPr>
        <w:t>con</w:t>
      </w:r>
      <w:r w:rsidRPr="00C95616">
        <w:rPr>
          <w:rFonts w:ascii="Arial" w:hAnsi="Arial" w:cs="Arial"/>
          <w:color w:val="0A0A0A"/>
          <w:shd w:val="clear" w:color="auto" w:fill="FFFFFF"/>
        </w:rPr>
        <w:t xml:space="preserve"> la existencia de un marco de negociación colectiva </w:t>
      </w:r>
      <w:r w:rsidR="0034121A">
        <w:rPr>
          <w:rFonts w:ascii="Arial" w:hAnsi="Arial" w:cs="Arial"/>
          <w:color w:val="0A0A0A"/>
          <w:shd w:val="clear" w:color="auto" w:fill="FFFFFF"/>
        </w:rPr>
        <w:t xml:space="preserve">que deber ser </w:t>
      </w:r>
      <w:r w:rsidRPr="00C95616">
        <w:rPr>
          <w:rFonts w:ascii="Arial" w:hAnsi="Arial" w:cs="Arial"/>
          <w:color w:val="0A0A0A"/>
          <w:shd w:val="clear" w:color="auto" w:fill="FFFFFF"/>
        </w:rPr>
        <w:t>real y vigente.</w:t>
      </w:r>
    </w:p>
    <w:p w:rsidR="00C95616" w:rsidRPr="00C95616" w:rsidRDefault="00C95616" w:rsidP="00C95616">
      <w:pPr>
        <w:spacing w:line="360" w:lineRule="auto"/>
        <w:jc w:val="both"/>
        <w:rPr>
          <w:rFonts w:ascii="Arial" w:hAnsi="Arial" w:cs="Arial"/>
          <w:color w:val="0A0A0A"/>
          <w:shd w:val="clear" w:color="auto" w:fill="FFFFFF"/>
        </w:rPr>
      </w:pPr>
      <w:r w:rsidRPr="00C95616">
        <w:rPr>
          <w:rFonts w:ascii="Arial" w:hAnsi="Arial" w:cs="Arial"/>
          <w:color w:val="0A0A0A"/>
          <w:shd w:val="clear" w:color="auto" w:fill="FFFFFF"/>
        </w:rPr>
        <w:t xml:space="preserve">En este sentido, </w:t>
      </w:r>
      <w:r w:rsidR="008537ED">
        <w:rPr>
          <w:rFonts w:ascii="Arial" w:hAnsi="Arial" w:cs="Arial"/>
          <w:color w:val="0A0A0A"/>
          <w:shd w:val="clear" w:color="auto" w:fill="FFFFFF"/>
        </w:rPr>
        <w:t>CCOO</w:t>
      </w:r>
      <w:r w:rsidRPr="00C95616">
        <w:rPr>
          <w:rFonts w:ascii="Arial" w:hAnsi="Arial" w:cs="Arial"/>
          <w:color w:val="0A0A0A"/>
          <w:shd w:val="clear" w:color="auto" w:fill="FFFFFF"/>
        </w:rPr>
        <w:t xml:space="preserve"> y </w:t>
      </w:r>
      <w:r w:rsidR="008537ED">
        <w:rPr>
          <w:rFonts w:ascii="Arial" w:hAnsi="Arial" w:cs="Arial"/>
          <w:color w:val="0A0A0A"/>
          <w:shd w:val="clear" w:color="auto" w:fill="FFFFFF"/>
        </w:rPr>
        <w:t>UGT</w:t>
      </w:r>
      <w:r w:rsidRPr="00C95616">
        <w:rPr>
          <w:rFonts w:ascii="Arial" w:hAnsi="Arial" w:cs="Arial"/>
          <w:color w:val="0A0A0A"/>
          <w:shd w:val="clear" w:color="auto" w:fill="FFFFFF"/>
        </w:rPr>
        <w:t xml:space="preserve"> reclaman que no se proceda a la renovación ni adjudicación de nuevos conciertos a las empresas de la sanidad privada incluidas en el ámbito funcional del citado convenio sectorial mientras persista el bloqueo de su negociación, como medida necesaria para proteger tanto a las personas trabajadoras como a la ciudadanía usuaria de</w:t>
      </w:r>
      <w:r w:rsidR="0034121A">
        <w:rPr>
          <w:rFonts w:ascii="Arial" w:hAnsi="Arial" w:cs="Arial"/>
          <w:color w:val="0A0A0A"/>
          <w:shd w:val="clear" w:color="auto" w:fill="FFFFFF"/>
        </w:rPr>
        <w:t xml:space="preserve"> los servicios externalizados a través de estas empresas. </w:t>
      </w:r>
    </w:p>
    <w:p w:rsidR="00C95616" w:rsidRPr="00C95616" w:rsidRDefault="0034121A" w:rsidP="00C95616">
      <w:pPr>
        <w:spacing w:line="360" w:lineRule="auto"/>
        <w:jc w:val="both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Q</w:t>
      </w:r>
      <w:r w:rsidR="00C95616" w:rsidRPr="00C95616">
        <w:rPr>
          <w:rFonts w:ascii="Arial" w:hAnsi="Arial" w:cs="Arial"/>
          <w:color w:val="0A0A0A"/>
          <w:shd w:val="clear" w:color="auto" w:fill="FFFFFF"/>
        </w:rPr>
        <w:t>uedamos</w:t>
      </w:r>
      <w:r>
        <w:rPr>
          <w:rFonts w:ascii="Arial" w:hAnsi="Arial" w:cs="Arial"/>
          <w:color w:val="0A0A0A"/>
          <w:shd w:val="clear" w:color="auto" w:fill="FFFFFF"/>
        </w:rPr>
        <w:t xml:space="preserve">, asimismo, </w:t>
      </w:r>
      <w:r w:rsidR="00C95616" w:rsidRPr="00C95616">
        <w:rPr>
          <w:rFonts w:ascii="Arial" w:hAnsi="Arial" w:cs="Arial"/>
          <w:color w:val="0A0A0A"/>
          <w:shd w:val="clear" w:color="auto" w:fill="FFFFFF"/>
        </w:rPr>
        <w:t>a su disposición para mantener las reuniones que consideren oportunas</w:t>
      </w:r>
      <w:r>
        <w:rPr>
          <w:rFonts w:ascii="Arial" w:hAnsi="Arial" w:cs="Arial"/>
          <w:color w:val="0A0A0A"/>
          <w:shd w:val="clear" w:color="auto" w:fill="FFFFFF"/>
        </w:rPr>
        <w:t xml:space="preserve"> para abordar esta problemática de indudable relevancia para el interés general.  </w:t>
      </w:r>
    </w:p>
    <w:p w:rsidR="00C95616" w:rsidRPr="00C95616" w:rsidRDefault="00C95616" w:rsidP="00C95616">
      <w:pPr>
        <w:spacing w:line="360" w:lineRule="auto"/>
        <w:jc w:val="both"/>
        <w:rPr>
          <w:rFonts w:ascii="Arial" w:hAnsi="Arial" w:cs="Arial"/>
          <w:color w:val="0A0A0A"/>
          <w:shd w:val="clear" w:color="auto" w:fill="FFFFFF"/>
        </w:rPr>
      </w:pPr>
    </w:p>
    <w:p w:rsidR="00C95616" w:rsidRPr="00C95616" w:rsidRDefault="00C95616" w:rsidP="00C95616">
      <w:pPr>
        <w:spacing w:line="360" w:lineRule="auto"/>
        <w:jc w:val="both"/>
        <w:rPr>
          <w:rFonts w:ascii="Arial" w:hAnsi="Arial" w:cs="Arial"/>
          <w:color w:val="0A0A0A"/>
          <w:shd w:val="clear" w:color="auto" w:fill="FFFFFF"/>
        </w:rPr>
      </w:pPr>
      <w:r w:rsidRPr="00C95616">
        <w:rPr>
          <w:rFonts w:ascii="Arial" w:hAnsi="Arial" w:cs="Arial"/>
          <w:color w:val="0A0A0A"/>
          <w:shd w:val="clear" w:color="auto" w:fill="FFFFFF"/>
        </w:rPr>
        <w:t>Atentamente,</w:t>
      </w:r>
    </w:p>
    <w:p w:rsidR="00C95616" w:rsidRPr="00C95616" w:rsidRDefault="00C95616" w:rsidP="00C95616">
      <w:pPr>
        <w:spacing w:line="360" w:lineRule="auto"/>
        <w:jc w:val="both"/>
        <w:rPr>
          <w:rFonts w:ascii="Arial" w:hAnsi="Arial" w:cs="Arial"/>
          <w:color w:val="0A0A0A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60"/>
        <w:gridCol w:w="3959"/>
      </w:tblGrid>
      <w:tr w:rsidR="008F3BA6" w:rsidRPr="0034121A" w:rsidTr="0034121A">
        <w:trPr>
          <w:trHeight w:val="276"/>
          <w:jc w:val="center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3BA6" w:rsidRPr="0034121A" w:rsidRDefault="008F3BA6" w:rsidP="0034121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</w:pPr>
            <w:r w:rsidRPr="0034121A"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  <w:t>Paqui Sánchez Salmerón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3BA6" w:rsidRPr="0034121A" w:rsidRDefault="008F3BA6" w:rsidP="0034121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</w:pPr>
            <w:r w:rsidRPr="0034121A"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  <w:t>Teresa Fuentes Rivera</w:t>
            </w:r>
          </w:p>
        </w:tc>
      </w:tr>
      <w:tr w:rsidR="008F3BA6" w:rsidRPr="0034121A" w:rsidTr="0034121A">
        <w:trPr>
          <w:trHeight w:val="276"/>
          <w:jc w:val="center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3BA6" w:rsidRPr="0034121A" w:rsidRDefault="008F3BA6" w:rsidP="0034121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</w:pPr>
            <w:r w:rsidRPr="0034121A"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  <w:t>Secretaria General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3BA6" w:rsidRPr="0034121A" w:rsidRDefault="008F3BA6" w:rsidP="0034121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</w:pPr>
            <w:r w:rsidRPr="0034121A"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  <w:t>Secretaria General</w:t>
            </w:r>
          </w:p>
        </w:tc>
      </w:tr>
      <w:tr w:rsidR="008F3BA6" w:rsidRPr="0034121A" w:rsidTr="0034121A">
        <w:trPr>
          <w:trHeight w:val="319"/>
          <w:jc w:val="center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3BA6" w:rsidRPr="0034121A" w:rsidRDefault="00B91F2B" w:rsidP="0034121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</w:pPr>
            <w:r w:rsidRPr="0034121A"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  <w:t>UGT Región de Murcia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3BA6" w:rsidRPr="0034121A" w:rsidRDefault="00B91F2B" w:rsidP="0034121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</w:pPr>
            <w:r w:rsidRPr="0034121A"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  <w:t>CCOO Región de Murcia</w:t>
            </w:r>
          </w:p>
        </w:tc>
      </w:tr>
    </w:tbl>
    <w:p w:rsidR="00EE6039" w:rsidRPr="00C95616" w:rsidRDefault="00EE6039" w:rsidP="00C95616">
      <w:pPr>
        <w:spacing w:line="360" w:lineRule="auto"/>
        <w:jc w:val="both"/>
      </w:pPr>
    </w:p>
    <w:sectPr w:rsidR="00EE6039" w:rsidRPr="00C95616" w:rsidSect="00C95616">
      <w:headerReference w:type="default" r:id="rId6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5C5" w:rsidRDefault="009405C5" w:rsidP="00C95616">
      <w:pPr>
        <w:spacing w:after="0" w:line="240" w:lineRule="auto"/>
      </w:pPr>
      <w:r>
        <w:separator/>
      </w:r>
    </w:p>
  </w:endnote>
  <w:endnote w:type="continuationSeparator" w:id="0">
    <w:p w:rsidR="009405C5" w:rsidRDefault="009405C5" w:rsidP="00C9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5C5" w:rsidRDefault="009405C5" w:rsidP="00C95616">
      <w:pPr>
        <w:spacing w:after="0" w:line="240" w:lineRule="auto"/>
      </w:pPr>
      <w:r>
        <w:separator/>
      </w:r>
    </w:p>
  </w:footnote>
  <w:footnote w:type="continuationSeparator" w:id="0">
    <w:p w:rsidR="009405C5" w:rsidRDefault="009405C5" w:rsidP="00C95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616" w:rsidRDefault="008537E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3539490</wp:posOffset>
          </wp:positionH>
          <wp:positionV relativeFrom="paragraph">
            <wp:posOffset>-125730</wp:posOffset>
          </wp:positionV>
          <wp:extent cx="2338070" cy="1076325"/>
          <wp:effectExtent l="0" t="0" r="0" b="0"/>
          <wp:wrapNone/>
          <wp:docPr id="21046787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414298" name="Imagen 1982414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07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-28575</wp:posOffset>
          </wp:positionH>
          <wp:positionV relativeFrom="paragraph">
            <wp:posOffset>188595</wp:posOffset>
          </wp:positionV>
          <wp:extent cx="3276600" cy="390525"/>
          <wp:effectExtent l="0" t="0" r="0" b="9525"/>
          <wp:wrapNone/>
          <wp:docPr id="663034055" name="Imagen 663034055" descr="Comisiones Obreras de la Región de Mur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isiones Obreras de la Región de Mur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5616" w:rsidRPr="00C95616">
      <w:rPr>
        <w:noProof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E6039"/>
    <w:rsid w:val="000A0659"/>
    <w:rsid w:val="000E343B"/>
    <w:rsid w:val="00214700"/>
    <w:rsid w:val="0034121A"/>
    <w:rsid w:val="00436C28"/>
    <w:rsid w:val="00601DFF"/>
    <w:rsid w:val="006F0BA4"/>
    <w:rsid w:val="008167FC"/>
    <w:rsid w:val="008537ED"/>
    <w:rsid w:val="008F3BA6"/>
    <w:rsid w:val="00900276"/>
    <w:rsid w:val="009405C5"/>
    <w:rsid w:val="00AC233F"/>
    <w:rsid w:val="00B05401"/>
    <w:rsid w:val="00B64D55"/>
    <w:rsid w:val="00B841A0"/>
    <w:rsid w:val="00B91F2B"/>
    <w:rsid w:val="00C4777C"/>
    <w:rsid w:val="00C95616"/>
    <w:rsid w:val="00E47826"/>
    <w:rsid w:val="00EE6039"/>
    <w:rsid w:val="00F2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1A0"/>
  </w:style>
  <w:style w:type="paragraph" w:styleId="Ttulo1">
    <w:name w:val="heading 1"/>
    <w:basedOn w:val="Normal"/>
    <w:next w:val="Normal"/>
    <w:link w:val="Ttulo1Car"/>
    <w:uiPriority w:val="9"/>
    <w:qFormat/>
    <w:rsid w:val="00EE6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6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6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6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6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6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6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6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6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6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6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6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60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60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60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60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60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60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6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6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6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6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6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60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60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60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6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60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6039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Fuentedeprrafopredeter"/>
    <w:rsid w:val="00EE6039"/>
  </w:style>
  <w:style w:type="paragraph" w:styleId="Encabezado">
    <w:name w:val="header"/>
    <w:basedOn w:val="Normal"/>
    <w:link w:val="EncabezadoCar"/>
    <w:uiPriority w:val="99"/>
    <w:unhideWhenUsed/>
    <w:rsid w:val="00C95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5616"/>
  </w:style>
  <w:style w:type="paragraph" w:styleId="Piedepgina">
    <w:name w:val="footer"/>
    <w:basedOn w:val="Normal"/>
    <w:link w:val="PiedepginaCar"/>
    <w:uiPriority w:val="99"/>
    <w:unhideWhenUsed/>
    <w:rsid w:val="00C95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6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guille</cp:lastModifiedBy>
  <cp:revision>2</cp:revision>
  <cp:lastPrinted>2026-01-12T13:04:00Z</cp:lastPrinted>
  <dcterms:created xsi:type="dcterms:W3CDTF">2026-01-13T11:44:00Z</dcterms:created>
  <dcterms:modified xsi:type="dcterms:W3CDTF">2026-01-13T11:44:00Z</dcterms:modified>
</cp:coreProperties>
</file>